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34FB14" w14:textId="77777777" w:rsidR="00E22AEF" w:rsidRPr="00FF4B96" w:rsidRDefault="00E22AEF" w:rsidP="00E22A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i/>
          <w:iCs/>
          <w:sz w:val="24"/>
          <w:szCs w:val="24"/>
          <w:u w:val="single"/>
        </w:rPr>
      </w:pPr>
      <w:r w:rsidRPr="00FF4B96">
        <w:rPr>
          <w:rFonts w:ascii="Times New Roman" w:hAnsi="Times New Roman"/>
          <w:b/>
          <w:i/>
          <w:iCs/>
          <w:sz w:val="24"/>
          <w:szCs w:val="24"/>
          <w:u w:val="single"/>
        </w:rPr>
        <w:t>Zestawienie uwag zgłoszonych w uzgodnieniach międzyresortowych</w:t>
      </w:r>
      <w:r>
        <w:rPr>
          <w:rFonts w:ascii="Times New Roman" w:hAnsi="Times New Roman"/>
          <w:b/>
          <w:i/>
          <w:iCs/>
          <w:sz w:val="24"/>
          <w:szCs w:val="24"/>
          <w:u w:val="single"/>
        </w:rPr>
        <w:t xml:space="preserve"> </w:t>
      </w:r>
      <w:r w:rsidRPr="00FF4B96">
        <w:rPr>
          <w:rFonts w:ascii="Times New Roman" w:hAnsi="Times New Roman"/>
          <w:b/>
          <w:i/>
          <w:iCs/>
          <w:sz w:val="24"/>
          <w:szCs w:val="24"/>
          <w:u w:val="single"/>
        </w:rPr>
        <w:t xml:space="preserve">do </w:t>
      </w:r>
      <w:bookmarkStart w:id="0" w:name="_Hlk66693850"/>
      <w:r w:rsidRPr="00FF4B96">
        <w:rPr>
          <w:rFonts w:ascii="Times New Roman" w:hAnsi="Times New Roman"/>
          <w:b/>
          <w:i/>
          <w:iCs/>
          <w:sz w:val="24"/>
          <w:szCs w:val="24"/>
          <w:u w:val="single"/>
        </w:rPr>
        <w:t>projektu</w:t>
      </w:r>
      <w:r w:rsidRPr="00FF4B96">
        <w:rPr>
          <w:rFonts w:ascii="Times New Roman" w:eastAsiaTheme="minorHAnsi" w:hAnsi="Times New Roman"/>
          <w:b/>
          <w:i/>
          <w:iCs/>
          <w:sz w:val="24"/>
          <w:szCs w:val="24"/>
          <w:u w:val="single"/>
        </w:rPr>
        <w:t xml:space="preserve"> rozporządzenia Ministra Sprawiedliwości w sprawie trybu i sposobu dokonywania doręczeń elektronicznych</w:t>
      </w:r>
    </w:p>
    <w:p w14:paraId="6590FE5D" w14:textId="77777777" w:rsidR="00E22AEF" w:rsidRPr="00FF4B96" w:rsidRDefault="00E22AEF" w:rsidP="00E22AEF">
      <w:pPr>
        <w:tabs>
          <w:tab w:val="left" w:pos="1701"/>
          <w:tab w:val="right" w:pos="8080"/>
          <w:tab w:val="right" w:pos="9639"/>
        </w:tabs>
        <w:ind w:left="142" w:right="254" w:hanging="142"/>
        <w:jc w:val="center"/>
        <w:rPr>
          <w:rFonts w:ascii="Times New Roman" w:hAnsi="Times New Roman"/>
          <w:b/>
          <w:i/>
          <w:iCs/>
          <w:sz w:val="24"/>
          <w:szCs w:val="24"/>
          <w:u w:val="single"/>
        </w:rPr>
      </w:pPr>
      <w:r w:rsidRPr="00FF4B96">
        <w:rPr>
          <w:rFonts w:ascii="Times New Roman" w:eastAsiaTheme="minorHAnsi" w:hAnsi="Times New Roman"/>
          <w:b/>
          <w:i/>
          <w:iCs/>
          <w:sz w:val="24"/>
          <w:szCs w:val="24"/>
          <w:u w:val="single"/>
        </w:rPr>
        <w:t xml:space="preserve">w postępowaniach </w:t>
      </w:r>
      <w:r>
        <w:rPr>
          <w:rFonts w:ascii="Times New Roman" w:eastAsiaTheme="minorHAnsi" w:hAnsi="Times New Roman"/>
          <w:b/>
          <w:i/>
          <w:iCs/>
          <w:sz w:val="24"/>
          <w:szCs w:val="24"/>
          <w:u w:val="single"/>
        </w:rPr>
        <w:t>restrukturyzacyjnych</w:t>
      </w:r>
      <w:r w:rsidRPr="00FF4B96">
        <w:rPr>
          <w:rFonts w:ascii="Times New Roman" w:eastAsiaTheme="minorHAnsi" w:hAnsi="Times New Roman"/>
          <w:b/>
          <w:i/>
          <w:iCs/>
          <w:sz w:val="24"/>
          <w:szCs w:val="24"/>
          <w:u w:val="single"/>
        </w:rPr>
        <w:t xml:space="preserve"> (nr w wykazie A4</w:t>
      </w:r>
      <w:r>
        <w:rPr>
          <w:rFonts w:ascii="Times New Roman" w:eastAsiaTheme="minorHAnsi" w:hAnsi="Times New Roman"/>
          <w:b/>
          <w:i/>
          <w:iCs/>
          <w:sz w:val="24"/>
          <w:szCs w:val="24"/>
          <w:u w:val="single"/>
        </w:rPr>
        <w:t>20</w:t>
      </w:r>
      <w:r w:rsidRPr="00FF4B96">
        <w:rPr>
          <w:rFonts w:ascii="Times New Roman" w:eastAsiaTheme="minorHAnsi" w:hAnsi="Times New Roman"/>
          <w:b/>
          <w:i/>
          <w:iCs/>
          <w:sz w:val="24"/>
          <w:szCs w:val="24"/>
          <w:u w:val="single"/>
        </w:rPr>
        <w:t>)</w:t>
      </w:r>
    </w:p>
    <w:tbl>
      <w:tblPr>
        <w:tblW w:w="14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938"/>
        <w:gridCol w:w="1432"/>
        <w:gridCol w:w="2143"/>
        <w:gridCol w:w="5050"/>
        <w:gridCol w:w="4919"/>
      </w:tblGrid>
      <w:tr w:rsidR="00E22AEF" w:rsidRPr="007A51B3" w14:paraId="32E05C9F" w14:textId="77777777" w:rsidTr="00D72113">
        <w:tc>
          <w:tcPr>
            <w:tcW w:w="938" w:type="dxa"/>
          </w:tcPr>
          <w:bookmarkEnd w:id="0"/>
          <w:p w14:paraId="067B164C" w14:textId="77777777" w:rsidR="00E22AEF" w:rsidRPr="007A51B3" w:rsidRDefault="00E22AEF" w:rsidP="003F3BC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51B3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1432" w:type="dxa"/>
          </w:tcPr>
          <w:p w14:paraId="3B13134A" w14:textId="77777777" w:rsidR="00E22AEF" w:rsidRPr="007A51B3" w:rsidRDefault="00E22AEF" w:rsidP="003F3BC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51B3">
              <w:rPr>
                <w:rFonts w:ascii="Times New Roman" w:hAnsi="Times New Roman"/>
                <w:b/>
                <w:sz w:val="24"/>
                <w:szCs w:val="24"/>
              </w:rPr>
              <w:t xml:space="preserve">Zgłaszający </w:t>
            </w:r>
          </w:p>
          <w:p w14:paraId="65D7C1C4" w14:textId="77777777" w:rsidR="00E22AEF" w:rsidRPr="007A51B3" w:rsidRDefault="00E22AEF" w:rsidP="003F3BC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51B3">
              <w:rPr>
                <w:rFonts w:ascii="Times New Roman" w:hAnsi="Times New Roman"/>
                <w:b/>
                <w:sz w:val="24"/>
                <w:szCs w:val="24"/>
              </w:rPr>
              <w:t>uwagę</w:t>
            </w:r>
          </w:p>
        </w:tc>
        <w:tc>
          <w:tcPr>
            <w:tcW w:w="2143" w:type="dxa"/>
          </w:tcPr>
          <w:p w14:paraId="21316BC6" w14:textId="77777777" w:rsidR="00E22AEF" w:rsidRPr="007A51B3" w:rsidRDefault="00E22AEF" w:rsidP="003F3BC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51B3">
              <w:rPr>
                <w:rFonts w:ascii="Times New Roman" w:hAnsi="Times New Roman"/>
                <w:b/>
                <w:sz w:val="24"/>
                <w:szCs w:val="24"/>
              </w:rPr>
              <w:t>Uwaga dotyczy</w:t>
            </w:r>
          </w:p>
        </w:tc>
        <w:tc>
          <w:tcPr>
            <w:tcW w:w="5050" w:type="dxa"/>
          </w:tcPr>
          <w:p w14:paraId="0000502B" w14:textId="77777777" w:rsidR="00E22AEF" w:rsidRPr="007A51B3" w:rsidRDefault="00E22AEF" w:rsidP="003F3BC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51B3">
              <w:rPr>
                <w:rFonts w:ascii="Times New Roman" w:hAnsi="Times New Roman"/>
                <w:b/>
                <w:sz w:val="24"/>
                <w:szCs w:val="24"/>
              </w:rPr>
              <w:t>Treść uwagi</w:t>
            </w:r>
          </w:p>
        </w:tc>
        <w:tc>
          <w:tcPr>
            <w:tcW w:w="4919" w:type="dxa"/>
          </w:tcPr>
          <w:p w14:paraId="27102ECE" w14:textId="77777777" w:rsidR="00E22AEF" w:rsidRPr="007A51B3" w:rsidRDefault="00E22AEF" w:rsidP="003F3BC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51B3">
              <w:rPr>
                <w:rFonts w:ascii="Times New Roman" w:hAnsi="Times New Roman"/>
                <w:b/>
                <w:sz w:val="24"/>
                <w:szCs w:val="24"/>
              </w:rPr>
              <w:t xml:space="preserve">Odniesienie się do uwagi </w:t>
            </w:r>
          </w:p>
        </w:tc>
      </w:tr>
      <w:tr w:rsidR="00E22AEF" w:rsidRPr="007A51B3" w14:paraId="29CDB5B1" w14:textId="77777777" w:rsidTr="00D72113">
        <w:trPr>
          <w:trHeight w:val="2786"/>
        </w:trPr>
        <w:tc>
          <w:tcPr>
            <w:tcW w:w="938" w:type="dxa"/>
          </w:tcPr>
          <w:p w14:paraId="644E0179" w14:textId="77777777" w:rsidR="00E22AEF" w:rsidRPr="007A51B3" w:rsidRDefault="00D72113" w:rsidP="003F3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22AE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32" w:type="dxa"/>
          </w:tcPr>
          <w:p w14:paraId="1F9B6443" w14:textId="77777777" w:rsidR="00E22AEF" w:rsidRPr="007A51B3" w:rsidRDefault="00E22AEF" w:rsidP="003F3BC5">
            <w:pPr>
              <w:spacing w:after="0" w:line="240" w:lineRule="auto"/>
              <w:ind w:right="-1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RCL</w:t>
            </w:r>
          </w:p>
        </w:tc>
        <w:tc>
          <w:tcPr>
            <w:tcW w:w="2143" w:type="dxa"/>
          </w:tcPr>
          <w:p w14:paraId="276227FF" w14:textId="77777777" w:rsidR="00E22AEF" w:rsidRPr="00EB2499" w:rsidRDefault="00E22AEF" w:rsidP="003F3BC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Uwaga ogólna</w:t>
            </w:r>
          </w:p>
        </w:tc>
        <w:tc>
          <w:tcPr>
            <w:tcW w:w="5050" w:type="dxa"/>
          </w:tcPr>
          <w:p w14:paraId="7BA52A50" w14:textId="77777777" w:rsidR="00E22AEF" w:rsidRPr="00696012" w:rsidRDefault="00E22AEF" w:rsidP="003F3BC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96012">
              <w:rPr>
                <w:rFonts w:ascii="Times New Roman" w:eastAsiaTheme="minorHAnsi" w:hAnsi="Times New Roman"/>
                <w:sz w:val="24"/>
                <w:szCs w:val="24"/>
              </w:rPr>
              <w:t>Upoważnienie ustawowe do wydania niniejszego rozporządzenia jest identyczne jak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696012">
              <w:rPr>
                <w:rFonts w:ascii="Times New Roman" w:eastAsiaTheme="minorHAnsi" w:hAnsi="Times New Roman"/>
                <w:sz w:val="24"/>
                <w:szCs w:val="24"/>
              </w:rPr>
              <w:t>upoważnienie określone w art. 131</w:t>
            </w:r>
            <w:r w:rsidRPr="00696012">
              <w:rPr>
                <w:rFonts w:ascii="Times New Roman" w:eastAsiaTheme="minorHAnsi" w:hAnsi="Times New Roman"/>
                <w:sz w:val="24"/>
                <w:szCs w:val="24"/>
                <w:vertAlign w:val="superscript"/>
              </w:rPr>
              <w:t>1</w:t>
            </w:r>
            <w:r w:rsidRPr="00696012">
              <w:rPr>
                <w:rFonts w:ascii="Times New Roman" w:eastAsiaTheme="minorHAnsi" w:hAnsi="Times New Roman"/>
                <w:sz w:val="24"/>
                <w:szCs w:val="24"/>
              </w:rPr>
              <w:t xml:space="preserve"> § 3 ustawy z dnia 17 listopada 1964 r. – Kodeks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696012">
              <w:rPr>
                <w:rFonts w:ascii="Times New Roman" w:eastAsiaTheme="minorHAnsi" w:hAnsi="Times New Roman"/>
                <w:sz w:val="24"/>
                <w:szCs w:val="24"/>
              </w:rPr>
              <w:t>postępowania cywilnego (Dz. U. z 2020 r. poz. 1575). Zauważa się, że w wydanym na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696012">
              <w:rPr>
                <w:rFonts w:ascii="Times New Roman" w:eastAsiaTheme="minorHAnsi" w:hAnsi="Times New Roman"/>
                <w:sz w:val="24"/>
                <w:szCs w:val="24"/>
              </w:rPr>
              <w:t>powyższej podstawie prawnej rozporządzeniu Ministra Sprawiedliwości z dnia 20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696012">
              <w:rPr>
                <w:rFonts w:ascii="Times New Roman" w:eastAsiaTheme="minorHAnsi" w:hAnsi="Times New Roman"/>
                <w:sz w:val="24"/>
                <w:szCs w:val="24"/>
              </w:rPr>
              <w:t>października 2015 r. w sprawie trybu i sposobu dokonywania doręczeń elektronicznych</w:t>
            </w:r>
          </w:p>
          <w:p w14:paraId="0A55469D" w14:textId="77777777" w:rsidR="00E22AEF" w:rsidRPr="00696012" w:rsidRDefault="00E22AEF" w:rsidP="003F3BC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</w:pPr>
            <w:r w:rsidRPr="00696012">
              <w:rPr>
                <w:rFonts w:ascii="Times New Roman" w:eastAsiaTheme="minorHAnsi" w:hAnsi="Times New Roman"/>
                <w:sz w:val="24"/>
                <w:szCs w:val="24"/>
              </w:rPr>
              <w:t xml:space="preserve">(Dz. U. poz. 1776) określono szereg pojęć jak np. pojęcia: </w:t>
            </w:r>
            <w:r w:rsidRPr="00696012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„użytkownika”, „konta”,</w:t>
            </w: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</w:t>
            </w:r>
            <w:r w:rsidRPr="00696012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„pisma”, „doręczenia pisma”, </w:t>
            </w:r>
            <w:r w:rsidRPr="00696012">
              <w:rPr>
                <w:rFonts w:ascii="Times New Roman" w:eastAsiaTheme="minorHAnsi" w:hAnsi="Times New Roman"/>
                <w:sz w:val="24"/>
                <w:szCs w:val="24"/>
              </w:rPr>
              <w:t>których w przedmiotowym projekcie rozporządzenia jest</w:t>
            </w: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</w:t>
            </w:r>
            <w:r w:rsidRPr="00696012">
              <w:rPr>
                <w:rFonts w:ascii="Times New Roman" w:eastAsiaTheme="minorHAnsi" w:hAnsi="Times New Roman"/>
                <w:sz w:val="24"/>
                <w:szCs w:val="24"/>
              </w:rPr>
              <w:t>brak, a bez których zawarte w projekcie nor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m</w:t>
            </w:r>
            <w:r w:rsidRPr="00696012">
              <w:rPr>
                <w:rFonts w:ascii="Times New Roman" w:eastAsiaTheme="minorHAnsi" w:hAnsi="Times New Roman"/>
                <w:sz w:val="24"/>
                <w:szCs w:val="24"/>
              </w:rPr>
              <w:t>y stają się niedookreślone. Tym samym,</w:t>
            </w: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</w:t>
            </w:r>
            <w:r w:rsidRPr="00696012">
              <w:rPr>
                <w:rFonts w:ascii="Times New Roman" w:eastAsiaTheme="minorHAnsi" w:hAnsi="Times New Roman"/>
                <w:sz w:val="24"/>
                <w:szCs w:val="24"/>
              </w:rPr>
              <w:t>w celu dookreślenia projektowanych norm należy albo uzupełnić projekt korzystając</w:t>
            </w: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</w:t>
            </w:r>
            <w:r w:rsidRPr="00696012">
              <w:rPr>
                <w:rFonts w:ascii="Times New Roman" w:eastAsiaTheme="minorHAnsi" w:hAnsi="Times New Roman"/>
                <w:sz w:val="24"/>
                <w:szCs w:val="24"/>
              </w:rPr>
              <w:t>z rozwiązań przyjętych w obowiązującym rozporządzeniu albo doprecyzować § 2 ust. 1</w:t>
            </w: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</w:t>
            </w:r>
            <w:r w:rsidRPr="00696012">
              <w:rPr>
                <w:rFonts w:ascii="Times New Roman" w:eastAsiaTheme="minorHAnsi" w:hAnsi="Times New Roman"/>
                <w:sz w:val="24"/>
                <w:szCs w:val="24"/>
              </w:rPr>
              <w:t>projektu przez odesłanie w nim, w zakresie trybu dokonywania doręczeń, do przepisów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696012">
              <w:rPr>
                <w:rFonts w:ascii="Times New Roman" w:eastAsiaTheme="minorHAnsi" w:hAnsi="Times New Roman"/>
                <w:sz w:val="24"/>
                <w:szCs w:val="24"/>
              </w:rPr>
              <w:t>wydanych na podstawie art. 131</w:t>
            </w:r>
            <w:r w:rsidRPr="00696012">
              <w:rPr>
                <w:rFonts w:ascii="Times New Roman" w:eastAsiaTheme="minorHAnsi" w:hAnsi="Times New Roman"/>
                <w:sz w:val="24"/>
                <w:szCs w:val="24"/>
                <w:vertAlign w:val="superscript"/>
              </w:rPr>
              <w:t xml:space="preserve">1 </w:t>
            </w:r>
            <w:r w:rsidRPr="00696012">
              <w:rPr>
                <w:rFonts w:ascii="Times New Roman" w:eastAsiaTheme="minorHAnsi" w:hAnsi="Times New Roman"/>
                <w:sz w:val="24"/>
                <w:szCs w:val="24"/>
              </w:rPr>
              <w:t>§ 3 K.p.c.</w:t>
            </w:r>
          </w:p>
        </w:tc>
        <w:tc>
          <w:tcPr>
            <w:tcW w:w="4919" w:type="dxa"/>
          </w:tcPr>
          <w:p w14:paraId="048298C8" w14:textId="1ECF1429" w:rsidR="00E22AEF" w:rsidRDefault="00E22AEF" w:rsidP="003F3BC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23EC">
              <w:rPr>
                <w:rFonts w:ascii="Times New Roman" w:hAnsi="Times New Roman"/>
                <w:b/>
                <w:bCs/>
                <w:sz w:val="24"/>
                <w:szCs w:val="24"/>
              </w:rPr>
              <w:t>Uwaga uwzględniona</w:t>
            </w:r>
            <w:r w:rsidRPr="00431B52">
              <w:rPr>
                <w:rFonts w:ascii="Times New Roman" w:hAnsi="Times New Roman"/>
                <w:sz w:val="24"/>
                <w:szCs w:val="24"/>
              </w:rPr>
              <w:t xml:space="preserve"> poprzez wprowadzenie do projektu definicji na potrzeby przedmiotowej regulacji. Przy czym z uwagi na to, że postępowanie </w:t>
            </w:r>
            <w:r w:rsidR="00C8761A">
              <w:rPr>
                <w:rFonts w:ascii="Times New Roman" w:hAnsi="Times New Roman"/>
                <w:sz w:val="24"/>
                <w:szCs w:val="24"/>
              </w:rPr>
              <w:t>restrukturyzacyjne</w:t>
            </w:r>
            <w:r w:rsidRPr="00431B52">
              <w:rPr>
                <w:rFonts w:ascii="Times New Roman" w:hAnsi="Times New Roman"/>
                <w:sz w:val="24"/>
                <w:szCs w:val="24"/>
              </w:rPr>
              <w:t xml:space="preserve"> będzie obsługiwane przez inny system teleinformatyczny obsługujący postępowanie sądowe, niż o którym mowa w</w:t>
            </w:r>
            <w:r w:rsidRPr="00431B5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431B52">
              <w:rPr>
                <w:rFonts w:ascii="Times New Roman" w:eastAsiaTheme="minorHAnsi" w:hAnsi="Times New Roman"/>
                <w:sz w:val="24"/>
                <w:szCs w:val="24"/>
              </w:rPr>
              <w:t>rozporządzeniu Ministra Sprawiedliwości z dnia 20 października 2015 r. w sprawie trybu i sposobu dokonywania doręczeń elektronicznych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431B52">
              <w:rPr>
                <w:rFonts w:ascii="Times New Roman" w:eastAsiaTheme="minorHAnsi" w:hAnsi="Times New Roman"/>
                <w:sz w:val="24"/>
                <w:szCs w:val="24"/>
              </w:rPr>
              <w:t>(Dz. U. poz. 1776)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,</w:t>
            </w:r>
            <w:r w:rsidRPr="00431B52">
              <w:rPr>
                <w:rFonts w:ascii="Times New Roman" w:eastAsiaTheme="minorHAnsi" w:hAnsi="Times New Roman"/>
                <w:sz w:val="24"/>
                <w:szCs w:val="24"/>
              </w:rPr>
              <w:t xml:space="preserve"> to definicje sformułowane w projektowanym rozporządzeniu nie będą tożsame z definicjami zawartymi w rozporządzeniu wydanym na podstawie art. 131</w:t>
            </w:r>
            <w:r w:rsidRPr="00431B52">
              <w:rPr>
                <w:rFonts w:ascii="Times New Roman" w:eastAsiaTheme="minorHAnsi" w:hAnsi="Times New Roman"/>
                <w:sz w:val="24"/>
                <w:szCs w:val="24"/>
                <w:vertAlign w:val="superscript"/>
              </w:rPr>
              <w:t xml:space="preserve">1 </w:t>
            </w:r>
            <w:r w:rsidRPr="00431B52">
              <w:rPr>
                <w:rFonts w:ascii="Times New Roman" w:eastAsiaTheme="minorHAnsi" w:hAnsi="Times New Roman"/>
                <w:sz w:val="24"/>
                <w:szCs w:val="24"/>
              </w:rPr>
              <w:t>§ 3 K.p.c.</w:t>
            </w:r>
          </w:p>
          <w:p w14:paraId="212BD66C" w14:textId="77777777" w:rsidR="00E22AEF" w:rsidRPr="00431B52" w:rsidRDefault="00E22AEF" w:rsidP="003F3BC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Jest to podyktowane innymi rozwiązaniami technicznymi przyjętymi w systemie teleinformatycznym obsługującym postępowanie restrukturyzacyjne.</w:t>
            </w:r>
          </w:p>
        </w:tc>
      </w:tr>
      <w:tr w:rsidR="00E22AEF" w:rsidRPr="007A51B3" w14:paraId="568BA8CE" w14:textId="77777777" w:rsidTr="00D72113">
        <w:trPr>
          <w:trHeight w:val="2786"/>
        </w:trPr>
        <w:tc>
          <w:tcPr>
            <w:tcW w:w="938" w:type="dxa"/>
          </w:tcPr>
          <w:p w14:paraId="53C01394" w14:textId="77777777" w:rsidR="00E22AEF" w:rsidRPr="007A51B3" w:rsidRDefault="00D72113" w:rsidP="003F3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22AE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32" w:type="dxa"/>
          </w:tcPr>
          <w:p w14:paraId="0ABBEB29" w14:textId="77777777" w:rsidR="00E22AEF" w:rsidRPr="007A51B3" w:rsidRDefault="00E22AEF" w:rsidP="003F3BC5">
            <w:pPr>
              <w:spacing w:after="0" w:line="240" w:lineRule="auto"/>
              <w:ind w:right="-1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RCL</w:t>
            </w:r>
          </w:p>
        </w:tc>
        <w:tc>
          <w:tcPr>
            <w:tcW w:w="2143" w:type="dxa"/>
          </w:tcPr>
          <w:p w14:paraId="663947ED" w14:textId="77777777" w:rsidR="00E22AEF" w:rsidRPr="00EB2499" w:rsidRDefault="00E22AEF" w:rsidP="003F3BC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499">
              <w:rPr>
                <w:rFonts w:ascii="Times New Roman" w:eastAsiaTheme="minorHAnsi" w:hAnsi="Times New Roman"/>
                <w:sz w:val="24"/>
                <w:szCs w:val="24"/>
              </w:rPr>
              <w:t>§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2 ust. 2</w:t>
            </w:r>
            <w:r w:rsidRPr="00EB249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50" w:type="dxa"/>
          </w:tcPr>
          <w:p w14:paraId="3E894C9A" w14:textId="77777777" w:rsidR="00E22AEF" w:rsidRPr="002C3B0C" w:rsidRDefault="00E22AEF" w:rsidP="003F3BC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Przepis § 2 ust. 2 projektu rozporządzenia należy usunąć, ponieważ uznanie pisma za doręczone stanowi materię ustawową.</w:t>
            </w:r>
          </w:p>
          <w:p w14:paraId="344C934D" w14:textId="77777777" w:rsidR="00E22AEF" w:rsidRPr="007A51B3" w:rsidRDefault="00E22AEF" w:rsidP="003F3BC5">
            <w:pPr>
              <w:pStyle w:val="Style9"/>
              <w:widowControl/>
              <w:tabs>
                <w:tab w:val="left" w:pos="355"/>
              </w:tabs>
              <w:spacing w:line="360" w:lineRule="auto"/>
              <w:ind w:firstLine="709"/>
            </w:pPr>
          </w:p>
        </w:tc>
        <w:tc>
          <w:tcPr>
            <w:tcW w:w="4919" w:type="dxa"/>
          </w:tcPr>
          <w:p w14:paraId="78BBC544" w14:textId="77777777" w:rsidR="00E22AEF" w:rsidRPr="007A51B3" w:rsidRDefault="00E22AEF" w:rsidP="003F3BC5">
            <w:pPr>
              <w:pStyle w:val="Style2"/>
              <w:widowControl/>
              <w:spacing w:line="360" w:lineRule="auto"/>
              <w:ind w:firstLine="0"/>
              <w:rPr>
                <w:rFonts w:ascii="Times New Roman" w:hAnsi="Times New Roman" w:cs="Times New Roman"/>
              </w:rPr>
            </w:pPr>
            <w:r w:rsidRPr="00800775">
              <w:rPr>
                <w:rFonts w:ascii="Times New Roman" w:hAnsi="Times New Roman" w:cs="Times New Roman"/>
                <w:b/>
                <w:bCs/>
              </w:rPr>
              <w:t>Uwaga uwzględniona.</w:t>
            </w:r>
          </w:p>
        </w:tc>
      </w:tr>
      <w:tr w:rsidR="00E22AEF" w:rsidRPr="007A51B3" w14:paraId="76BA6432" w14:textId="77777777" w:rsidTr="00D72113">
        <w:trPr>
          <w:trHeight w:val="2786"/>
        </w:trPr>
        <w:tc>
          <w:tcPr>
            <w:tcW w:w="938" w:type="dxa"/>
          </w:tcPr>
          <w:p w14:paraId="46D7BE47" w14:textId="77777777" w:rsidR="00E22AEF" w:rsidRPr="007A51B3" w:rsidRDefault="00D72113" w:rsidP="003F3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E22AE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32" w:type="dxa"/>
          </w:tcPr>
          <w:p w14:paraId="5DAB82A8" w14:textId="77777777" w:rsidR="00E22AEF" w:rsidRPr="007A51B3" w:rsidRDefault="00E22AEF" w:rsidP="003F3BC5">
            <w:pPr>
              <w:spacing w:after="0" w:line="240" w:lineRule="auto"/>
              <w:ind w:right="-1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RCL</w:t>
            </w:r>
          </w:p>
        </w:tc>
        <w:tc>
          <w:tcPr>
            <w:tcW w:w="2143" w:type="dxa"/>
          </w:tcPr>
          <w:p w14:paraId="17C05135" w14:textId="77777777" w:rsidR="00E22AEF" w:rsidRPr="00EB2499" w:rsidRDefault="00E22AEF" w:rsidP="003F3BC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Uzasadnienie</w:t>
            </w:r>
            <w:r w:rsidR="00D72113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5050" w:type="dxa"/>
          </w:tcPr>
          <w:p w14:paraId="47F8207E" w14:textId="77777777" w:rsidR="00E22AEF" w:rsidRPr="00E22AEF" w:rsidRDefault="00E22AEF" w:rsidP="00E22AE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22AEF">
              <w:rPr>
                <w:rFonts w:ascii="Times New Roman" w:eastAsiaTheme="minorHAnsi" w:hAnsi="Times New Roman"/>
                <w:sz w:val="24"/>
                <w:szCs w:val="24"/>
              </w:rPr>
              <w:t xml:space="preserve">Uzasadnienie projektu rozporządzenia wymaga dostosowania do wymogów określonych w § 33 ust. 2 </w:t>
            </w:r>
            <w:r w:rsidRPr="00E22AEF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Regulaminu pracy Rady Ministrów</w:t>
            </w:r>
            <w:r w:rsidRPr="00E22AEF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4919" w:type="dxa"/>
          </w:tcPr>
          <w:p w14:paraId="15034B22" w14:textId="77777777" w:rsidR="00E22AEF" w:rsidRDefault="00E22AEF" w:rsidP="003F3BC5">
            <w:pPr>
              <w:pStyle w:val="Style2"/>
              <w:widowControl/>
              <w:spacing w:line="360" w:lineRule="auto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800775">
              <w:rPr>
                <w:rFonts w:ascii="Times New Roman" w:hAnsi="Times New Roman" w:cs="Times New Roman"/>
                <w:b/>
                <w:bCs/>
              </w:rPr>
              <w:t>Uwaga uwzględniona.</w:t>
            </w:r>
          </w:p>
          <w:p w14:paraId="3A660429" w14:textId="77777777" w:rsidR="00E22AEF" w:rsidRPr="00467B54" w:rsidRDefault="00E22AEF" w:rsidP="003F3BC5">
            <w:pPr>
              <w:pStyle w:val="Style2"/>
              <w:widowControl/>
              <w:spacing w:line="360" w:lineRule="auto"/>
              <w:ind w:firstLine="0"/>
              <w:rPr>
                <w:rFonts w:ascii="Times New Roman" w:hAnsi="Times New Roman" w:cs="Times New Roman"/>
                <w:color w:val="00B050"/>
              </w:rPr>
            </w:pPr>
          </w:p>
        </w:tc>
      </w:tr>
      <w:tr w:rsidR="00D72113" w:rsidRPr="00467B54" w14:paraId="38C28FBF" w14:textId="77777777" w:rsidTr="00D72113">
        <w:trPr>
          <w:trHeight w:val="2786"/>
        </w:trPr>
        <w:tc>
          <w:tcPr>
            <w:tcW w:w="938" w:type="dxa"/>
          </w:tcPr>
          <w:p w14:paraId="67A2C10E" w14:textId="77777777" w:rsidR="00D72113" w:rsidRPr="007A51B3" w:rsidRDefault="00D72113" w:rsidP="003F3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432" w:type="dxa"/>
          </w:tcPr>
          <w:p w14:paraId="69D52FB1" w14:textId="77777777" w:rsidR="00D72113" w:rsidRPr="007A51B3" w:rsidRDefault="00D72113" w:rsidP="003F3BC5">
            <w:pPr>
              <w:spacing w:after="0" w:line="240" w:lineRule="auto"/>
              <w:ind w:right="-1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RCL</w:t>
            </w:r>
          </w:p>
        </w:tc>
        <w:tc>
          <w:tcPr>
            <w:tcW w:w="2143" w:type="dxa"/>
          </w:tcPr>
          <w:p w14:paraId="329391F0" w14:textId="77777777" w:rsidR="00D72113" w:rsidRPr="00EB2499" w:rsidRDefault="00D72113" w:rsidP="003F3BC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OSR</w:t>
            </w:r>
          </w:p>
        </w:tc>
        <w:tc>
          <w:tcPr>
            <w:tcW w:w="5050" w:type="dxa"/>
          </w:tcPr>
          <w:p w14:paraId="62526898" w14:textId="77777777" w:rsidR="00D72113" w:rsidRPr="00D72113" w:rsidRDefault="00D72113" w:rsidP="00D7211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2113">
              <w:rPr>
                <w:rFonts w:ascii="Times New Roman" w:eastAsiaTheme="minorHAnsi" w:hAnsi="Times New Roman"/>
                <w:sz w:val="24"/>
                <w:szCs w:val="24"/>
              </w:rPr>
              <w:t xml:space="preserve">W pkt 5 OSR należy zaktualizować informację o wykonaniu obowiązku wynikającego z art. 5 ustawy z dnia 7 lipca 2005 r. </w:t>
            </w:r>
            <w:r w:rsidRPr="00D72113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o działalności lobbingowej w procesie</w:t>
            </w:r>
            <w:r w:rsidRPr="00D72113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D72113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stanowienia prawa </w:t>
            </w: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br/>
            </w:r>
            <w:r w:rsidRPr="00D72113">
              <w:rPr>
                <w:rFonts w:ascii="Times New Roman" w:eastAsiaTheme="minorHAnsi" w:hAnsi="Times New Roman"/>
                <w:sz w:val="24"/>
                <w:szCs w:val="24"/>
              </w:rPr>
              <w:t>(Dz. U. z 2017 r. poz. 248).</w:t>
            </w:r>
          </w:p>
        </w:tc>
        <w:tc>
          <w:tcPr>
            <w:tcW w:w="4919" w:type="dxa"/>
          </w:tcPr>
          <w:p w14:paraId="0E838935" w14:textId="77777777" w:rsidR="00D72113" w:rsidRDefault="00D72113" w:rsidP="003F3BC5">
            <w:pPr>
              <w:pStyle w:val="Style2"/>
              <w:widowControl/>
              <w:spacing w:line="360" w:lineRule="auto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800775">
              <w:rPr>
                <w:rFonts w:ascii="Times New Roman" w:hAnsi="Times New Roman" w:cs="Times New Roman"/>
                <w:b/>
                <w:bCs/>
              </w:rPr>
              <w:t>Uwaga uwzględniona.</w:t>
            </w:r>
          </w:p>
          <w:p w14:paraId="67335EA3" w14:textId="77777777" w:rsidR="00D72113" w:rsidRPr="00467B54" w:rsidRDefault="00D72113" w:rsidP="003F3BC5">
            <w:pPr>
              <w:pStyle w:val="Style2"/>
              <w:widowControl/>
              <w:spacing w:line="360" w:lineRule="auto"/>
              <w:ind w:firstLine="0"/>
              <w:rPr>
                <w:rFonts w:ascii="Times New Roman" w:hAnsi="Times New Roman" w:cs="Times New Roman"/>
                <w:color w:val="00B050"/>
              </w:rPr>
            </w:pPr>
          </w:p>
        </w:tc>
      </w:tr>
    </w:tbl>
    <w:p w14:paraId="1B1167E2" w14:textId="77777777" w:rsidR="00E22AEF" w:rsidRDefault="00E22AEF" w:rsidP="00E22AEF"/>
    <w:p w14:paraId="05CB063F" w14:textId="77777777" w:rsidR="00E65575" w:rsidRDefault="00E65575"/>
    <w:sectPr w:rsidR="00E655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EF"/>
    <w:rsid w:val="00C8761A"/>
    <w:rsid w:val="00D72113"/>
    <w:rsid w:val="00E22AEF"/>
    <w:rsid w:val="00E65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57CF9"/>
  <w15:chartTrackingRefBased/>
  <w15:docId w15:val="{92D21B3F-607B-41DD-A8B8-2DEE3E70F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2AE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2">
    <w:name w:val="Style2"/>
    <w:basedOn w:val="Normalny"/>
    <w:uiPriority w:val="99"/>
    <w:rsid w:val="00E22AEF"/>
    <w:pPr>
      <w:widowControl w:val="0"/>
      <w:autoSpaceDE w:val="0"/>
      <w:autoSpaceDN w:val="0"/>
      <w:adjustRightInd w:val="0"/>
      <w:spacing w:after="0" w:line="414" w:lineRule="exact"/>
      <w:ind w:firstLine="713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E22AEF"/>
    <w:pPr>
      <w:widowControl w:val="0"/>
      <w:autoSpaceDE w:val="0"/>
      <w:autoSpaceDN w:val="0"/>
      <w:adjustRightInd w:val="0"/>
      <w:spacing w:after="0" w:line="418" w:lineRule="exact"/>
      <w:ind w:firstLine="713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22A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367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Wołowski Przemysław  (DLPC)</dc:creator>
  <cp:keywords/>
  <dc:description/>
  <cp:lastModifiedBy>Wołowski Przemysław  (DLPC)</cp:lastModifiedBy>
  <cp:revision>2</cp:revision>
  <dcterms:created xsi:type="dcterms:W3CDTF">2021-03-16T12:12:00Z</dcterms:created>
  <dcterms:modified xsi:type="dcterms:W3CDTF">2021-03-20T09:09:00Z</dcterms:modified>
</cp:coreProperties>
</file>